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74742CEB" w:rsidR="00740B65" w:rsidRDefault="00740B65" w:rsidP="00740B65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7. SINIF </w:t>
      </w:r>
      <w:r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8"/>
        <w:gridCol w:w="3408"/>
        <w:gridCol w:w="3816"/>
      </w:tblGrid>
      <w:tr w:rsidR="008C45D3" w:rsidRPr="00495969" w14:paraId="4D015261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D0104E">
        <w:tc>
          <w:tcPr>
            <w:tcW w:w="1838" w:type="dxa"/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D0104E">
        <w:tc>
          <w:tcPr>
            <w:tcW w:w="1838" w:type="dxa"/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D0104E">
        <w:tc>
          <w:tcPr>
            <w:tcW w:w="1838" w:type="dxa"/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0B7AA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926C4F">
              <w:rPr>
                <w:b/>
                <w:bCs/>
              </w:rPr>
              <w:t>E R D E M L E R</w:t>
            </w:r>
          </w:p>
        </w:tc>
      </w:tr>
      <w:tr w:rsidR="008C45D3" w:rsidRPr="00495969" w14:paraId="4CF84AEE" w14:textId="77777777" w:rsidTr="00D0104E">
        <w:tc>
          <w:tcPr>
            <w:tcW w:w="1838" w:type="dxa"/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186D724" w14:textId="2A0E2D71" w:rsidR="008C45D3" w:rsidRPr="008F2D6E" w:rsidRDefault="003C4B66" w:rsidP="008F4BA7">
            <w:pPr>
              <w:spacing w:after="160" w:line="259" w:lineRule="auto"/>
              <w:jc w:val="center"/>
              <w:rPr>
                <w:b/>
                <w:bCs/>
              </w:rPr>
            </w:pPr>
            <w:r w:rsidRPr="003C4B66">
              <w:rPr>
                <w:b/>
                <w:bCs/>
                <w:color w:val="C00000"/>
              </w:rPr>
              <w:t xml:space="preserve">AKILLI KIZ </w:t>
            </w:r>
            <w:r>
              <w:rPr>
                <w:b/>
                <w:bCs/>
                <w:color w:val="C00000"/>
              </w:rPr>
              <w:t xml:space="preserve">               </w:t>
            </w:r>
            <w:r w:rsidR="008F4BA7">
              <w:rPr>
                <w:b/>
                <w:bCs/>
                <w:color w:val="C00000"/>
              </w:rPr>
              <w:t xml:space="preserve">                               </w:t>
            </w:r>
            <w:r w:rsidR="00D169DD">
              <w:rPr>
                <w:b/>
                <w:bCs/>
                <w:color w:val="C00000"/>
              </w:rPr>
              <w:t xml:space="preserve">  (</w:t>
            </w:r>
            <w:r w:rsidRPr="00D169DD">
              <w:rPr>
                <w:b/>
                <w:bCs/>
                <w:color w:val="ED7D31" w:themeColor="accent2"/>
                <w:sz w:val="18"/>
                <w:szCs w:val="18"/>
              </w:rPr>
              <w:t>D</w:t>
            </w:r>
            <w:r w:rsidRPr="008F4BA7">
              <w:rPr>
                <w:b/>
                <w:bCs/>
                <w:color w:val="ED7D31" w:themeColor="accent2"/>
                <w:sz w:val="18"/>
                <w:szCs w:val="18"/>
              </w:rPr>
              <w:t>İNLEME/İZLEME METNİ)</w:t>
            </w:r>
          </w:p>
        </w:tc>
      </w:tr>
      <w:tr w:rsidR="008C45D3" w:rsidRPr="00495969" w14:paraId="6A58ECB6" w14:textId="77777777" w:rsidTr="00D0104E">
        <w:tc>
          <w:tcPr>
            <w:tcW w:w="1838" w:type="dxa"/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D0104E">
        <w:tc>
          <w:tcPr>
            <w:tcW w:w="1838" w:type="dxa"/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86BEC2B" w14:textId="0C150B64" w:rsidR="008C45D3" w:rsidRPr="008F2D6E" w:rsidRDefault="00D92417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D92417">
              <w:rPr>
                <w:b/>
                <w:bCs/>
                <w:color w:val="7030A0"/>
              </w:rPr>
              <w:t>10-14 EKİM 2022</w:t>
            </w:r>
          </w:p>
        </w:tc>
      </w:tr>
      <w:tr w:rsidR="008C45D3" w:rsidRPr="00495969" w14:paraId="53C815B2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D0104E">
        <w:tc>
          <w:tcPr>
            <w:tcW w:w="1838" w:type="dxa"/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008"/>
            </w:tblGrid>
            <w:tr w:rsidR="006E4A5F" w:rsidRPr="006E4A5F" w14:paraId="6520C6BB" w14:textId="77777777">
              <w:trPr>
                <w:trHeight w:val="1780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114F7CBD" w14:textId="77777777" w:rsidR="00092EF7" w:rsidRPr="00A31DA9" w:rsidRDefault="00092EF7" w:rsidP="00092EF7">
                  <w:pPr>
                    <w:framePr w:hSpace="141" w:wrap="around" w:hAnchor="margin" w:y="30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A31DA9">
                    <w:rPr>
                      <w:b/>
                      <w:bCs/>
                      <w:sz w:val="20"/>
                      <w:szCs w:val="20"/>
                    </w:rPr>
                    <w:t>T.7.1.1. Dinlediklerinde/izlediklerinde</w:t>
                  </w:r>
                </w:p>
                <w:p w14:paraId="317126AB" w14:textId="77777777" w:rsidR="00092EF7" w:rsidRPr="00A31DA9" w:rsidRDefault="00092EF7" w:rsidP="00092EF7">
                  <w:pPr>
                    <w:framePr w:hSpace="141" w:wrap="around" w:hAnchor="margin" w:y="30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A31DA9">
                    <w:rPr>
                      <w:b/>
                      <w:bCs/>
                      <w:sz w:val="20"/>
                      <w:szCs w:val="20"/>
                    </w:rPr>
                    <w:t>geçen olayların gelişimi ve sonucu hakkında tahminde bulunur.</w:t>
                  </w:r>
                </w:p>
                <w:p w14:paraId="5CE536F3" w14:textId="77777777" w:rsidR="00092EF7" w:rsidRPr="00A31DA9" w:rsidRDefault="00092EF7" w:rsidP="00092EF7">
                  <w:pPr>
                    <w:framePr w:hSpace="141" w:wrap="around" w:hAnchor="margin" w:y="30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A31DA9">
                    <w:rPr>
                      <w:b/>
                      <w:bCs/>
                      <w:sz w:val="20"/>
                      <w:szCs w:val="20"/>
                    </w:rPr>
                    <w:t>T.7.1.2. Dinlediklerinde/izlediklerinde geçen, bilmediği kelimelerin anlamını tahmin eder.</w:t>
                  </w:r>
                </w:p>
                <w:p w14:paraId="6079F765" w14:textId="77777777" w:rsidR="00092EF7" w:rsidRPr="00A31DA9" w:rsidRDefault="00092EF7" w:rsidP="00092EF7">
                  <w:pPr>
                    <w:framePr w:hSpace="141" w:wrap="around" w:hAnchor="margin" w:y="30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A31DA9">
                    <w:rPr>
                      <w:b/>
                      <w:bCs/>
                      <w:sz w:val="20"/>
                      <w:szCs w:val="20"/>
                    </w:rPr>
                    <w:t>T.7.1.3. Dinlediklerini/izlediklerini özetler.</w:t>
                  </w:r>
                </w:p>
                <w:p w14:paraId="4214C5D8" w14:textId="77777777" w:rsidR="00092EF7" w:rsidRPr="00A31DA9" w:rsidRDefault="00092EF7" w:rsidP="00092EF7">
                  <w:pPr>
                    <w:framePr w:hSpace="141" w:wrap="around" w:hAnchor="margin" w:y="30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A31DA9">
                    <w:rPr>
                      <w:b/>
                      <w:bCs/>
                      <w:sz w:val="20"/>
                      <w:szCs w:val="20"/>
                    </w:rPr>
                    <w:t>T.7.1.4. Dinledikleri/izlediklerine yönelik soruları cevaplar. T.7.1.5.Dinlediklerinin/izlediklerinin konusunu belirler. T.7.1.6.Dinlediklerinin/izlediklerinin ana fikrini/ana duygusunu belirler.</w:t>
                  </w:r>
                </w:p>
                <w:p w14:paraId="12A737D6" w14:textId="77777777" w:rsidR="006E4A5F" w:rsidRPr="00A31DA9" w:rsidRDefault="00092EF7" w:rsidP="00092EF7">
                  <w:pPr>
                    <w:framePr w:hSpace="141" w:wrap="around" w:hAnchor="margin" w:y="300"/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A31DA9">
                    <w:rPr>
                      <w:b/>
                      <w:bCs/>
                      <w:sz w:val="20"/>
                      <w:szCs w:val="20"/>
                    </w:rPr>
                    <w:t>T.7.1.7.Dinlediklerine/izlediklerine yönelik farklı başlıklar öneri</w:t>
                  </w:r>
                </w:p>
                <w:p w14:paraId="504794B5" w14:textId="5247E13A" w:rsidR="00A31DA9" w:rsidRPr="006E4A5F" w:rsidRDefault="00A31DA9" w:rsidP="00092EF7">
                  <w:pPr>
                    <w:framePr w:hSpace="141" w:wrap="around" w:hAnchor="margin" w:y="300"/>
                    <w:spacing w:after="0" w:line="240" w:lineRule="auto"/>
                    <w:rPr>
                      <w:b/>
                      <w:bCs/>
                    </w:rPr>
                  </w:pPr>
                  <w:r w:rsidRPr="00A31DA9">
                    <w:rPr>
                      <w:b/>
                      <w:bCs/>
                      <w:sz w:val="20"/>
                      <w:szCs w:val="20"/>
                    </w:rPr>
                    <w:t>T.7.3.12. Fiillerin anlam özelliklerini fark eder.</w:t>
                  </w:r>
                </w:p>
              </w:tc>
            </w:tr>
          </w:tbl>
          <w:p w14:paraId="2D7A4881" w14:textId="7F34F6E8" w:rsidR="00764CE1" w:rsidRPr="00764CE1" w:rsidRDefault="00764CE1" w:rsidP="00764CE1">
            <w:pPr>
              <w:pStyle w:val="AralkYok"/>
            </w:pPr>
          </w:p>
        </w:tc>
      </w:tr>
      <w:tr w:rsidR="008C45D3" w:rsidRPr="00495969" w14:paraId="0A56595C" w14:textId="77777777" w:rsidTr="00D44783">
        <w:trPr>
          <w:trHeight w:val="472"/>
        </w:trPr>
        <w:tc>
          <w:tcPr>
            <w:tcW w:w="1838" w:type="dxa"/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5D0455A4" w14:textId="51CC0D6B" w:rsidR="008C45D3" w:rsidRPr="00DE516B" w:rsidRDefault="00D4478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>Anlatma, soru- cevap, problem çözme, gösterip yaptırma, tartışma, gösteri, rol yapma, drama,</w:t>
            </w:r>
          </w:p>
        </w:tc>
      </w:tr>
      <w:tr w:rsidR="008C45D3" w:rsidRPr="00495969" w14:paraId="7ED7194A" w14:textId="77777777" w:rsidTr="00D0104E">
        <w:trPr>
          <w:trHeight w:val="516"/>
        </w:trPr>
        <w:tc>
          <w:tcPr>
            <w:tcW w:w="1838" w:type="dxa"/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287A81ED" w14:textId="77777777" w:rsidR="008C45D3" w:rsidRPr="00DE516B" w:rsidRDefault="008C45D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D0104E">
        <w:tc>
          <w:tcPr>
            <w:tcW w:w="1838" w:type="dxa"/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12E54A7B" w14:textId="676176A1" w:rsidR="00CA143F" w:rsidRPr="002E5755" w:rsidRDefault="003F7C31" w:rsidP="00A31D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C45D3">
              <w:rPr>
                <w:b/>
                <w:bCs/>
              </w:rPr>
              <w:t xml:space="preserve"> </w:t>
            </w:r>
            <w:r w:rsidR="00A31DA9">
              <w:rPr>
                <w:b/>
                <w:bCs/>
                <w:sz w:val="20"/>
                <w:szCs w:val="20"/>
              </w:rPr>
              <w:t xml:space="preserve"> </w:t>
            </w:r>
            <w:r w:rsidR="007644D8" w:rsidRPr="002E5755">
              <w:rPr>
                <w:b/>
                <w:bCs/>
              </w:rPr>
              <w:t xml:space="preserve">Dinleme metninde geçen sözcükler ile anlamları eşleştirilerek derse başlanacak. </w:t>
            </w:r>
            <w:r w:rsidR="0038756A" w:rsidRPr="002E5755">
              <w:rPr>
                <w:b/>
                <w:bCs/>
              </w:rPr>
              <w:t xml:space="preserve">Ardından metni kavrama soruları cevaplanıp konu ve ana fikir bulunacak. </w:t>
            </w:r>
            <w:r w:rsidR="003120F9" w:rsidRPr="002E5755">
              <w:rPr>
                <w:b/>
                <w:bCs/>
              </w:rPr>
              <w:t xml:space="preserve">Öznel nesnel etkinliğinden sonra metin özet olarak yazılacak. </w:t>
            </w:r>
            <w:r w:rsidR="006C7029" w:rsidRPr="002E5755">
              <w:rPr>
                <w:b/>
                <w:bCs/>
              </w:rPr>
              <w:t xml:space="preserve">Virgülün kullanıldığı yerlerle verilen örnekler eşleştirilerek </w:t>
            </w:r>
            <w:r w:rsidR="00141CB3" w:rsidRPr="002E5755">
              <w:rPr>
                <w:b/>
                <w:bCs/>
              </w:rPr>
              <w:t xml:space="preserve">eylemin anlam özelliğine ait etkinlik yapılacak. Son olarak </w:t>
            </w:r>
            <w:r w:rsidR="00B17703" w:rsidRPr="002E5755">
              <w:rPr>
                <w:b/>
                <w:bCs/>
              </w:rPr>
              <w:t xml:space="preserve">email tarzında bir bayram davetiyesi yazılacak. </w:t>
            </w:r>
            <w:r w:rsidR="00A61D7A" w:rsidRPr="002E5755">
              <w:rPr>
                <w:b/>
                <w:bCs/>
              </w:rPr>
              <w:t xml:space="preserve"> </w:t>
            </w:r>
          </w:p>
        </w:tc>
      </w:tr>
      <w:tr w:rsidR="008C45D3" w:rsidRPr="00495969" w14:paraId="74A6A73D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D0104E">
        <w:trPr>
          <w:trHeight w:val="454"/>
        </w:trPr>
        <w:tc>
          <w:tcPr>
            <w:tcW w:w="1838" w:type="dxa"/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shd w:val="clear" w:color="auto" w:fill="66FFFF"/>
          </w:tcPr>
          <w:p w14:paraId="7112BD9A" w14:textId="1291F590" w:rsidR="008C45D3" w:rsidRPr="008F2D6E" w:rsidRDefault="00003327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Görüş-, </w:t>
            </w:r>
            <w:r w:rsidR="00727D44">
              <w:rPr>
                <w:b/>
                <w:bCs/>
              </w:rPr>
              <w:t xml:space="preserve">piş-, okut- eylemlerini anlamları yönünden inceleyiniz. </w:t>
            </w:r>
          </w:p>
        </w:tc>
      </w:tr>
      <w:tr w:rsidR="008C45D3" w:rsidRPr="00495969" w14:paraId="59ECC339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D0104E">
        <w:tc>
          <w:tcPr>
            <w:tcW w:w="1838" w:type="dxa"/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D0104E">
        <w:tc>
          <w:tcPr>
            <w:tcW w:w="1838" w:type="dxa"/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FFFFCC"/>
          </w:tcPr>
          <w:p w14:paraId="0282C7C9" w14:textId="77777777" w:rsidR="008C45D3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shd w:val="clear" w:color="auto" w:fill="FFFFCC"/>
          </w:tcPr>
          <w:p w14:paraId="2B4ABE15" w14:textId="77777777" w:rsidR="00D92417" w:rsidRDefault="00D92417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10-14 EKİM 2022</w:t>
            </w:r>
          </w:p>
          <w:p w14:paraId="0C453846" w14:textId="596C5020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77777777" w:rsidR="008C45D3" w:rsidRPr="008629A4" w:rsidRDefault="008C45D3" w:rsidP="00740B65">
      <w:pPr>
        <w:jc w:val="center"/>
        <w:rPr>
          <w:b/>
          <w:bCs/>
          <w:color w:val="7030A0"/>
          <w:sz w:val="24"/>
          <w:szCs w:val="24"/>
        </w:rPr>
      </w:pPr>
    </w:p>
    <w:p w14:paraId="2A87BA8E" w14:textId="77777777" w:rsidR="007B6AA0" w:rsidRDefault="007B6AA0"/>
    <w:sectPr w:rsidR="007B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03327"/>
    <w:rsid w:val="0001188F"/>
    <w:rsid w:val="00041D1D"/>
    <w:rsid w:val="000447D8"/>
    <w:rsid w:val="00092EF7"/>
    <w:rsid w:val="000C6171"/>
    <w:rsid w:val="00141CB3"/>
    <w:rsid w:val="00243C9D"/>
    <w:rsid w:val="00247A26"/>
    <w:rsid w:val="002948EB"/>
    <w:rsid w:val="002A36ED"/>
    <w:rsid w:val="002E5755"/>
    <w:rsid w:val="003120F9"/>
    <w:rsid w:val="0038756A"/>
    <w:rsid w:val="003C4B66"/>
    <w:rsid w:val="003F7C31"/>
    <w:rsid w:val="005214D8"/>
    <w:rsid w:val="00543140"/>
    <w:rsid w:val="0062531B"/>
    <w:rsid w:val="006A13B6"/>
    <w:rsid w:val="006C7029"/>
    <w:rsid w:val="006E4A5F"/>
    <w:rsid w:val="00727D44"/>
    <w:rsid w:val="00740B65"/>
    <w:rsid w:val="007644D8"/>
    <w:rsid w:val="00764CE1"/>
    <w:rsid w:val="00772784"/>
    <w:rsid w:val="007B6AA0"/>
    <w:rsid w:val="00896FB0"/>
    <w:rsid w:val="008C45D3"/>
    <w:rsid w:val="008D2899"/>
    <w:rsid w:val="008F4BA7"/>
    <w:rsid w:val="009B322B"/>
    <w:rsid w:val="009E7F0B"/>
    <w:rsid w:val="00A31DA9"/>
    <w:rsid w:val="00A61D7A"/>
    <w:rsid w:val="00AA55A8"/>
    <w:rsid w:val="00B17703"/>
    <w:rsid w:val="00B22284"/>
    <w:rsid w:val="00CA143F"/>
    <w:rsid w:val="00D169DD"/>
    <w:rsid w:val="00D44783"/>
    <w:rsid w:val="00D92417"/>
    <w:rsid w:val="00DE516B"/>
    <w:rsid w:val="00F746AE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45</cp:revision>
  <dcterms:created xsi:type="dcterms:W3CDTF">2022-10-01T09:17:00Z</dcterms:created>
  <dcterms:modified xsi:type="dcterms:W3CDTF">2022-10-08T08:52:00Z</dcterms:modified>
</cp:coreProperties>
</file>